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2011/72 vom 4. Mai 2011</w:t>
      </w:r>
    </w:p>
    <w:p>
      <w:r>
        <w:t>Sg Versicherungsgericht, 2011-05-04, DE</w:t>
      </w:r>
    </w:p>
    <w:p>
      <w:r>
        <w:rPr>
          <w:b/>
        </w:rPr>
        <w:t xml:space="preserve">Quelle: </w:t>
      </w:r>
      <w:r>
        <w:t>https://mcp.opencaselaw.ch/entscheid/sg_publikationen_AVI 2011_72</w:t>
      </w:r>
    </w:p>
    <w:p>
      <w:r>
        <w:t>FR: SG_VERSICHERUNGSGERICHT AVI 2011/72 du 4 mai 2011</w:t>
      </w:r>
    </w:p>
    <w:p>
      <w:r>
        <w:t>IT: SG_VERSICHERUNGSGERICHT AVI 2011/72 del 4 maggio 2011</w:t>
      </w:r>
    </w:p>
    <w:p>
      <w:pPr>
        <w:pStyle w:val="Heading2"/>
      </w:pPr>
      <w:r>
        <w:t>Regeste</w:t>
      </w:r>
    </w:p>
    <w:p>
      <w:r>
        <w:t>Art. 30 Abs. 1 lit. a AVIG, Art. 16 Abs. 2 lit. d AVIG. Eine in Form einer Änderungskündigung angebotene neue Anstellung ist unzumutbar, wenn damit eine weitere Rückversetzung, Überqualifikation und Lohneinbusse verbunden ist. Eine Einstellung in der Anspruchsberechtigung bei Nichtannahme ist daher unzulässig (Entscheid des Versicherungsgerichts des Kantons St. Gallen vom 10. April 2012, AVI 2011/72).Präsidentin Lisbeth Mattle Frei, Versicherungsrichterinnen Marie Löhrer undMarie-Theres Rüegg Haltinner; a.o. Gerichtsschreiberin Annina BaltisserEntscheid vom 10. April 2012in SachenA.___,Beschwerdeführerin,gegenKantonale Arbeitslosenkasse, Davidstrasse 21, 9001 St. Gallen,Beschwerdegegnerin,betreffendEinstellung in der Anspruchsberechtigung (Änderungskündigung)Sachverhalt:</w:t>
      </w:r>
    </w:p>
    <w:p>
      <w:pPr>
        <w:pStyle w:val="Heading2"/>
      </w:pPr>
      <w:r>
        <w:t>Erwägungen</w:t>
      </w:r>
    </w:p>
    <w:p>
      <w:r>
        <w:rPr>
          <w:b/>
        </w:rPr>
        <w:t>E. 1</w:t>
      </w:r>
    </w:p>
    <w:p>
      <w:r>
        <w:t>Streitig und vorliegend zu prüfen ist, ob die Beschwerdegegnerin die Beschwerdeführerin zu Recht wegen selbstverschuldeter Arbeitslosigkeit für 20 Tage in der Anspruchsberechtigung eingestellt hat. 1.1    Nach Art. 30 Abs. 1 lit. a des Bundesgesetzes über die obligatorische Arbeitslosen­versicherung und Insolvenzentschädigung (AVIG; SR 837.0) ist die versicherte Person in der Anspruchsberechtigung einzustellen, wenn sie durch eigenes Verschulden arbeitslos ist. Die Arbeitslosigkeit gilt gemäss der Verordnung über die obligatorische Arbeitslosenversicherung und Insolvenzentschädigung (AVIV; SR 837.02) insbesondere dann als selbstverschuldet, wenn die versicherte Person durch ihr Verhalten, insbesondere wegen Verletzung arbeitsvertraglicher Pflichten, dem Arbeitgeber Anlass zur Auflösung des Arbeitsverhältnisses gegeben hat (Art. 44 Abs. 1 lit. a AVIV). Ferner gilt die Arbeitslosigkeit als selbstverschuldet, wenn die versicherte Person das Arbeitsverhältnis von sich aus aufgelöst hat, ohne dass ihr eine andere Stelle zugesichert war, es sei denn, dass ihr das Verbleiben an der Arbeitsstelle nicht zugemutet werden konnte (Art. 44 Abs. 1 lit. b AVIV). Wurde die Kündigung vom Arbeitgeber ausgesprochen, weil die versicherte Person trotz der ihr gebotenen Gelegenheit nicht bereit war, das Arbeitsverhältnis unter geänderten Bedingungen weiterzuführen, kann der Einstellungsgrund der selbstverschuldeten Arbeitslosigkeit gemäss Art. 30 Abs. 1 lit. a AVIG gegeben sein. In Anlehnung an den Tatbestand von Art. 44 Abs. 1 lit. b AVIV ist in einem solchen Fall zu untersuchen, ob der versicherten Person die Annahme des Änderungsangebotes und damit das Verbleiben am bisherigen Arbeitsplatz zumindest bis zum Antritt einer Anschlussstelle nicht mehr zumutbar war (Jacqueline Chopard, Die Einstellung in der Anspruchsberechtigung, Zürich 1998, S. 119). Grundsätzlich muss eine versicherte Person im Rahmen der Schadenminderungspflicht jede zumutbare Arbeit annehmen bzw. beibehalten (Art. 16 Abs. 1 AVIG). Das sozialversicherungsrechtliche Schadenminderungsprinzip findet demnach seine Grenze bei der Zumutbarkeit. So kann es der versicherten Person nicht zugemutet werden, eine Stelle, die im Sinne von Art. 16 Abs. 2 AVIG unzumutbar und damit von der Annahmepflicht ausgenommen ist, beizu­behalten. 1.2    Im Weiteren ist bei der Prüfung der Frage, ob eine Sanktion wegen Selbstaufgabe der Stelle im Sinn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3c).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(Jacqueline Chopard, a.a.O, S. 80). Es kann nicht von einer freiwilligen Beschäftigungsaufgabe im Sinne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2</w:t>
      </w:r>
    </w:p>
    <w:p>
      <w:r>
        <w:t>2.1    Die Beschwerdeführerin macht geltend, dass die ihr im Rahmen der Änderungskündigung vom 20. Dezember 2010 (act. G 3/11) angebotene Stelle als Betriebsmitarbeiterin Vorfabrikation ihrer Ausbildung als Bauingenieurin unangemessen und deshalb unzumutbar gewesen sei. Eine Annahme hätte ihr den Wiedereinstieg als Ingenieurin erschwert. 2.2    Gemäss Art. 16 Abs. 2 lit. b AVIG ist eine Arbeit unzumutbar, die nicht angemessen auf die Fähigkeiten oder auf die bisherige Tätigkeiten der versicherten Person Rücksicht nimmt. Diese Vorschrift bezweckt den Schutz der Arbeitnehmenden vor Überforderung. Eine Unterbeanspruchung begründet demgegenüber keine Unzumutbarkeit des Arbeitsverhältnisses (Urteil des Eidgenössischen Versicherungsgerichts [EVG; ab 1. Januar 2007: Sozialrechtliche Abteilungen des Bundesgerichts] vom 10. Februar 2003, C 135/02, E. 2.2.1 mit Hinweisen). Eine Überqualifizierung allein vermag die Unzumutbarkeit einer (zumindest vorübergehenden) Anstellung somit grundsätzlich nicht zu rechtfertigen. Nach Art. 16 Abs. 2 lit. d AVIG ist auch eine Arbeit unzumutbar, die eine Wiederbeschäftigung der versicherten Person in ihrem Beruf wesentlich erschwert, falls darauf in absehbarer Zeit überhaupt Aussicht besteht. Vorliegend gilt es zu berücksichtigen, dass die Überqualifikation im Rahmen einer Rückversetzung zu beurteilen ist. So übte die Beschwerdeführerin bereits als Leiterin Fabrikation/Bautechnik eine Tätigkeit aus, die nicht ihrem Ausbildungsstand als Bauingenieurin und - wie sich aus dem Kündigungsschreiben vom 20. Dezember 2010 (act. G 3/11) ergibt - darüber hinaus auch nicht der ursprünglichen Anstellung entsprach. Mit Annahme des Stellenangebotes zur Betriebsmitarbeiterin Fabrikation wäre sie somit in der Hierarchie noch weiter zurückgestuft worden, was ihre Überqualifikation zusätzlich verstärkt hätte. Die Annahme eines Stellenangebotes, das eine solche Rückversetzung beinhaltet, erschwert eine künftige Neuanstellung wesentlich, da es der bewerbenden Person nur schwer gelingen wird, ein durch eine Rückversetzung ausgelöstes Misstrauen be­treffend ihre Fähigkeiten entkräften zu können (Jacqueline Chopard, a.a.O., S. 120, mit dem Schluss, dass eine durch eine Rückversetzung verursachte Überqualifikation unzumutbar ist). Durch die Annahme des Stellenangebotes und damit der Rückversetzung zur Betriebsmitarbeiterin wäre der Wiedereinstieg der Beschwerdeführerin als Ingenieurin, wie geltend gemacht wurde, wesentlich erschwert worden. Hinzu kommt, dass für die hierarchische Rückstufung der Beschwerdeführerin keine triftigen sachlichen Gründe seitens der Arbeitgeberin benannt wurden (vgl. hierzu nachstehend E. 3.2) und solche auch nicht ersichtlich sind (vgl. zur persönlichkeitsverletzenden Wirkung solcher Rückstufungen das Urteil des Bundesgerichtes vom 4. August 2006, 4C.189/2006, E. 2, mit Hinweisen). 2.3    Die Rückversetzung zur Betriebsmitarbeiterin hätte zweifellos eine gewichtige Rückstufung der Beschwerdeführerin dargestellt, zumal damit auch eine Lohneinbusse von rund 22% (Fr. 5'600.00 anstelle von Fr. 7'150.00) einhergegangen wäre. Diese Lohneinbusse hätte zudem, wie von der Beschwerdegegnerin im Übrigen selbst als nachvollziehbarer Grund anerkannt wurde, dazu geführt, dass die Beschwerdeführerin mit der Annahme der Stelle finanziell schlechter dagestanden wäre als bei Eintritt in die Arbeitslosigkeit.</w:t>
      </w:r>
    </w:p>
    <w:p>
      <w:r>
        <w:rPr>
          <w:b/>
        </w:rPr>
        <w:t>E. 3</w:t>
      </w:r>
    </w:p>
    <w:p>
      <w:r>
        <w:t>3.1    In Würdigung der gesamten Umstände war der Beschwerdeführerin die Annahme des Stellenangebotes ihrer ehemaligen Arbeitgeberin unzumutbar. Die Beschwerdegegnerin hat die Beschwerdeführerin somit zu Unrecht in der Anspruchsberechtigung eingestellt. 3.2    Vor diesem Hintergrund kann offen bleiben, ob die besagte Änderungskündigung aufgrund fehlender sachlicher Rechtfertigung missbräuchlich gewesen wäre.</w:t>
      </w:r>
    </w:p>
    <w:p>
      <w:r>
        <w:rPr>
          <w:b/>
        </w:rPr>
        <w:t>E. 4</w:t>
      </w:r>
    </w:p>
    <w:p>
      <w:r>
        <w:t>Im Sinne der vorstehenden Erwägungen ist die Beschwerde gutzuheissen und der Einspracheentscheid vom 8. August 2011 aufzuheben. Gerichtskosten sind keine zu erheben (Art. 61 lit. a des Bundesgesetzes über den Allgemeinen Teil des Sozialversicherungsrechts [ATSG; SR 830.1]). Demgemäss hat das Versicherungsgericht im Zirkulationsverfahren gemäss Art. 39 VRP entschieden: 1.       In Gutheissung der Beschwerde wird der Einspracheentscheid vom 8. August 2011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